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57" w:rsidRPr="009705D3" w:rsidRDefault="00714557" w:rsidP="00714557">
      <w:pPr>
        <w:pStyle w:val="Paragrafoelenco"/>
        <w:tabs>
          <w:tab w:val="num" w:pos="720"/>
        </w:tabs>
        <w:spacing w:after="0" w:line="300" w:lineRule="exact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proofErr w:type="gramStart"/>
      <w:r>
        <w:rPr>
          <w:rFonts w:asciiTheme="majorHAnsi" w:hAnsiTheme="majorHAnsi"/>
          <w:b/>
          <w:bCs/>
          <w:sz w:val="24"/>
          <w:szCs w:val="24"/>
        </w:rPr>
        <w:t>Allegato  -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9705D3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SOSTANZE O PRODOTTI CHE PROVOCANO ALLERGIE O INTOLLERANZE</w:t>
      </w:r>
    </w:p>
    <w:p w:rsidR="00714557" w:rsidRPr="009705D3" w:rsidRDefault="00714557" w:rsidP="00714557">
      <w:pPr>
        <w:spacing w:after="0" w:line="300" w:lineRule="exact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</w:pPr>
      <w:r w:rsidRPr="009705D3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ALLEGATO II Regolamento (UE) n.1169/2011</w:t>
      </w:r>
    </w:p>
    <w:p w:rsidR="00714557" w:rsidRPr="00714557" w:rsidRDefault="00714557" w:rsidP="00714557">
      <w:pPr>
        <w:spacing w:after="0" w:line="300" w:lineRule="exact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</w:pPr>
      <w:r w:rsidRPr="00714557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>Ecco la tabella dei 14 allergeni alimentari:</w:t>
      </w:r>
    </w:p>
    <w:tbl>
      <w:tblPr>
        <w:tblW w:w="976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6002"/>
      </w:tblGrid>
      <w:tr w:rsidR="00714557" w:rsidRPr="00714557" w:rsidTr="009F3073">
        <w:trPr>
          <w:tblHeader/>
        </w:trPr>
        <w:tc>
          <w:tcPr>
            <w:tcW w:w="0" w:type="auto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it-IT"/>
              </w:rPr>
              <w:t>Allergene</w:t>
            </w:r>
          </w:p>
        </w:tc>
        <w:tc>
          <w:tcPr>
            <w:tcW w:w="6002" w:type="dxa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it-IT"/>
              </w:rPr>
              <w:t>Esempi</w:t>
            </w:r>
          </w:p>
        </w:tc>
      </w:tr>
      <w:tr w:rsidR="00714557" w:rsidRPr="00714557" w:rsidTr="009F3073">
        <w:tc>
          <w:tcPr>
            <w:tcW w:w="0" w:type="auto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Glutine</w:t>
            </w:r>
          </w:p>
        </w:tc>
        <w:tc>
          <w:tcPr>
            <w:tcW w:w="6002" w:type="dxa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 xml:space="preserve">cereali, grano, segale, orzo, avena, farro, </w:t>
            </w:r>
            <w:proofErr w:type="spellStart"/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kamut</w:t>
            </w:r>
            <w:proofErr w:type="spellEnd"/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, inclusi ibridati e derivati</w:t>
            </w:r>
          </w:p>
        </w:tc>
      </w:tr>
      <w:tr w:rsidR="00714557" w:rsidRPr="00714557" w:rsidTr="009F3073">
        <w:tc>
          <w:tcPr>
            <w:tcW w:w="0" w:type="auto"/>
            <w:shd w:val="clear" w:color="auto" w:fill="EFF3F4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Crostacei e derivati</w:t>
            </w:r>
          </w:p>
        </w:tc>
        <w:tc>
          <w:tcPr>
            <w:tcW w:w="6002" w:type="dxa"/>
            <w:shd w:val="clear" w:color="auto" w:fill="EFF3F4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sia quelli marini che d’acqua dolce: gamberi, scampi, aragoste, granchi, paguri e simili</w:t>
            </w:r>
          </w:p>
        </w:tc>
      </w:tr>
      <w:tr w:rsidR="00714557" w:rsidRPr="00714557" w:rsidTr="009F3073">
        <w:tc>
          <w:tcPr>
            <w:tcW w:w="0" w:type="auto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Uova e derivati</w:t>
            </w:r>
          </w:p>
        </w:tc>
        <w:tc>
          <w:tcPr>
            <w:tcW w:w="6002" w:type="dxa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tutti i prodotti composti con uova, anche in parte minima. Tra le più comuni: maionese, frittata, emulsionanti, pasta all’uovo, biscotti e torte anche salate, gelati e creme ecc.</w:t>
            </w:r>
          </w:p>
        </w:tc>
      </w:tr>
      <w:tr w:rsidR="00714557" w:rsidRPr="00714557" w:rsidTr="009F3073">
        <w:tc>
          <w:tcPr>
            <w:tcW w:w="0" w:type="auto"/>
            <w:shd w:val="clear" w:color="auto" w:fill="EFF3F4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Pesce e derivati</w:t>
            </w:r>
          </w:p>
        </w:tc>
        <w:tc>
          <w:tcPr>
            <w:tcW w:w="6002" w:type="dxa"/>
            <w:shd w:val="clear" w:color="auto" w:fill="EFF3F4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inclusi i derivati, cioè tutti quei prodotti alimentari che si compongono di pesce, anche se in piccole percentuali</w:t>
            </w:r>
          </w:p>
        </w:tc>
      </w:tr>
      <w:tr w:rsidR="00714557" w:rsidRPr="00714557" w:rsidTr="009F3073">
        <w:tc>
          <w:tcPr>
            <w:tcW w:w="0" w:type="auto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Arachidi e derivati</w:t>
            </w:r>
          </w:p>
        </w:tc>
        <w:tc>
          <w:tcPr>
            <w:tcW w:w="6002" w:type="dxa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snack confezionati, creme e condimenti in cui vi sia anche in piccole dosi</w:t>
            </w:r>
          </w:p>
        </w:tc>
      </w:tr>
      <w:tr w:rsidR="00714557" w:rsidRPr="00714557" w:rsidTr="009F3073">
        <w:tc>
          <w:tcPr>
            <w:tcW w:w="0" w:type="auto"/>
            <w:shd w:val="clear" w:color="auto" w:fill="EFF3F4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Soia e derivati</w:t>
            </w:r>
          </w:p>
        </w:tc>
        <w:tc>
          <w:tcPr>
            <w:tcW w:w="6002" w:type="dxa"/>
            <w:shd w:val="clear" w:color="auto" w:fill="EFF3F4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latte, tofu, spaghetti, etc.</w:t>
            </w:r>
          </w:p>
        </w:tc>
      </w:tr>
      <w:tr w:rsidR="00714557" w:rsidRPr="00714557" w:rsidTr="009F3073">
        <w:tc>
          <w:tcPr>
            <w:tcW w:w="0" w:type="auto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Latte e derivati</w:t>
            </w:r>
          </w:p>
        </w:tc>
        <w:tc>
          <w:tcPr>
            <w:tcW w:w="6002" w:type="dxa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yogurt, biscotti e torte, gelato e creme varie. Ogni prodotto in cui viene usato il latte</w:t>
            </w:r>
          </w:p>
        </w:tc>
      </w:tr>
      <w:tr w:rsidR="00714557" w:rsidRPr="00714557" w:rsidTr="009F3073">
        <w:tc>
          <w:tcPr>
            <w:tcW w:w="0" w:type="auto"/>
            <w:shd w:val="clear" w:color="auto" w:fill="EFF3F4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Frutta a guscio e derivati</w:t>
            </w:r>
          </w:p>
        </w:tc>
        <w:tc>
          <w:tcPr>
            <w:tcW w:w="6002" w:type="dxa"/>
            <w:shd w:val="clear" w:color="auto" w:fill="EFF3F4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 xml:space="preserve">tutti i prodotti che includono: mandorle, nocciole, noci comuni, noci di acagiù, noci pecan e del Brasile e </w:t>
            </w:r>
            <w:proofErr w:type="spellStart"/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Queensland</w:t>
            </w:r>
            <w:proofErr w:type="spellEnd"/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, pistacchi</w:t>
            </w:r>
          </w:p>
        </w:tc>
      </w:tr>
      <w:tr w:rsidR="00714557" w:rsidRPr="00714557" w:rsidTr="009F3073">
        <w:tc>
          <w:tcPr>
            <w:tcW w:w="0" w:type="auto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Sedano e derivati</w:t>
            </w:r>
          </w:p>
        </w:tc>
        <w:tc>
          <w:tcPr>
            <w:tcW w:w="6002" w:type="dxa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presente in pezzi ma pure all’interno di preparati per zuppe, salse e concentrati vegetali</w:t>
            </w:r>
          </w:p>
        </w:tc>
      </w:tr>
      <w:tr w:rsidR="00714557" w:rsidRPr="00714557" w:rsidTr="009F3073">
        <w:tc>
          <w:tcPr>
            <w:tcW w:w="0" w:type="auto"/>
            <w:shd w:val="clear" w:color="auto" w:fill="EFF3F4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Senape e derivati</w:t>
            </w:r>
          </w:p>
        </w:tc>
        <w:tc>
          <w:tcPr>
            <w:tcW w:w="6002" w:type="dxa"/>
            <w:shd w:val="clear" w:color="auto" w:fill="EFF3F4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si può trovare nelle salse e nei condimenti, specie nella mostarda</w:t>
            </w:r>
          </w:p>
        </w:tc>
      </w:tr>
      <w:tr w:rsidR="00714557" w:rsidRPr="00714557" w:rsidTr="009F3073">
        <w:tc>
          <w:tcPr>
            <w:tcW w:w="0" w:type="auto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Semi di sesamo e derivati</w:t>
            </w:r>
          </w:p>
        </w:tc>
        <w:tc>
          <w:tcPr>
            <w:tcW w:w="6002" w:type="dxa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oltre ai semi interi usati per il pane, possiamo trovare tracce in alcuni tipi di farine</w:t>
            </w:r>
          </w:p>
        </w:tc>
      </w:tr>
      <w:tr w:rsidR="00714557" w:rsidRPr="00714557" w:rsidTr="009F3073">
        <w:tc>
          <w:tcPr>
            <w:tcW w:w="0" w:type="auto"/>
            <w:shd w:val="clear" w:color="auto" w:fill="EFF3F4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Anidride solforosa e solfiti in concentrazioni superiori a 10 mg/kg o 10 mg/l espressi come SO2</w:t>
            </w:r>
          </w:p>
        </w:tc>
        <w:tc>
          <w:tcPr>
            <w:tcW w:w="6002" w:type="dxa"/>
            <w:shd w:val="clear" w:color="auto" w:fill="EFF3F4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 xml:space="preserve">usati come conservanti, possiamo trovarli in: conserve di prodotti ittici, in cibi sott’aceto, sott’olio e in salamoia, nelle </w:t>
            </w: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lastRenderedPageBreak/>
              <w:t>marmellate, nell’aceto, nei funghi secchi e nelle bibite analcoliche e succhi di frutta</w:t>
            </w:r>
          </w:p>
        </w:tc>
      </w:tr>
      <w:tr w:rsidR="00714557" w:rsidRPr="00714557" w:rsidTr="009F3073">
        <w:tc>
          <w:tcPr>
            <w:tcW w:w="0" w:type="auto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lastRenderedPageBreak/>
              <w:t>Lupino e derivati</w:t>
            </w:r>
          </w:p>
        </w:tc>
        <w:tc>
          <w:tcPr>
            <w:tcW w:w="6002" w:type="dxa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presente ormai in molti cibi vegan, sotto forma di arrosti, salamini, farine e similari che hanno come base questo legume, ricco di proteine</w:t>
            </w:r>
          </w:p>
        </w:tc>
      </w:tr>
      <w:tr w:rsidR="00714557" w:rsidRPr="00714557" w:rsidTr="009F3073">
        <w:tc>
          <w:tcPr>
            <w:tcW w:w="0" w:type="auto"/>
            <w:shd w:val="clear" w:color="auto" w:fill="EFF3F4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Molluschi e derivati</w:t>
            </w:r>
          </w:p>
        </w:tc>
        <w:tc>
          <w:tcPr>
            <w:tcW w:w="6002" w:type="dxa"/>
            <w:shd w:val="clear" w:color="auto" w:fill="EFF3F4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14557" w:rsidRPr="00714557" w:rsidRDefault="00714557" w:rsidP="009F3073">
            <w:pPr>
              <w:spacing w:after="0" w:line="300" w:lineRule="exact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</w:pPr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 xml:space="preserve">canestrello, cannolicchio, capasanta, cuore, dattero di mare, </w:t>
            </w:r>
            <w:proofErr w:type="spellStart"/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fasolaro</w:t>
            </w:r>
            <w:proofErr w:type="spellEnd"/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garagolo</w:t>
            </w:r>
            <w:proofErr w:type="spellEnd"/>
            <w:r w:rsidRPr="0071455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it-IT"/>
              </w:rPr>
              <w:t>, lumachino, cozza, murice, ostrica, patella, tartufo di mare, tellina e vongola etc.</w:t>
            </w:r>
          </w:p>
        </w:tc>
      </w:tr>
    </w:tbl>
    <w:p w:rsidR="00714557" w:rsidRPr="00714557" w:rsidRDefault="00714557" w:rsidP="00714557">
      <w:pPr>
        <w:spacing w:after="0" w:line="300" w:lineRule="exact"/>
        <w:jc w:val="both"/>
        <w:rPr>
          <w:rFonts w:asciiTheme="majorHAnsi" w:hAnsiTheme="majorHAnsi"/>
          <w:bCs/>
          <w:sz w:val="24"/>
          <w:szCs w:val="24"/>
        </w:rPr>
      </w:pPr>
    </w:p>
    <w:p w:rsidR="00714557" w:rsidRPr="00714557" w:rsidRDefault="00714557" w:rsidP="00714557">
      <w:pPr>
        <w:spacing w:after="0" w:line="300" w:lineRule="exact"/>
        <w:jc w:val="both"/>
        <w:rPr>
          <w:rFonts w:asciiTheme="majorHAnsi" w:hAnsiTheme="majorHAnsi"/>
          <w:bCs/>
          <w:sz w:val="24"/>
          <w:szCs w:val="24"/>
        </w:rPr>
      </w:pPr>
      <w:r w:rsidRPr="00714557">
        <w:rPr>
          <w:rFonts w:asciiTheme="majorHAnsi" w:hAnsiTheme="majorHAnsi"/>
          <w:bCs/>
          <w:sz w:val="24"/>
          <w:szCs w:val="24"/>
        </w:rPr>
        <w:t>Ai sensi del Regolamento Europeo 1169/2011, vige per gli operatori del settore alimentare l’obbligo di informare la clientela sulla presenza di allergeni nelle pietanze servite nel proprio menù.</w:t>
      </w:r>
    </w:p>
    <w:p w:rsidR="00714557" w:rsidRPr="00714557" w:rsidRDefault="00714557" w:rsidP="00714557">
      <w:pPr>
        <w:pStyle w:val="Paragrafoelenco"/>
        <w:numPr>
          <w:ilvl w:val="0"/>
          <w:numId w:val="3"/>
        </w:numPr>
        <w:spacing w:after="0" w:line="300" w:lineRule="exact"/>
        <w:jc w:val="both"/>
        <w:rPr>
          <w:rFonts w:asciiTheme="majorHAnsi" w:hAnsiTheme="majorHAnsi"/>
          <w:bCs/>
          <w:sz w:val="24"/>
          <w:szCs w:val="24"/>
        </w:rPr>
      </w:pPr>
      <w:r w:rsidRPr="00714557">
        <w:rPr>
          <w:rFonts w:asciiTheme="majorHAnsi" w:hAnsiTheme="majorHAnsi"/>
          <w:bCs/>
          <w:sz w:val="24"/>
          <w:szCs w:val="24"/>
        </w:rPr>
        <w:t>L’elenco degli allergeni può essere comunicato alla clientela inserendo l’apposita scheda:</w:t>
      </w:r>
    </w:p>
    <w:p w:rsidR="00714557" w:rsidRPr="00714557" w:rsidRDefault="00714557" w:rsidP="00714557">
      <w:pPr>
        <w:pStyle w:val="Paragrafoelenco"/>
        <w:numPr>
          <w:ilvl w:val="0"/>
          <w:numId w:val="3"/>
        </w:numPr>
        <w:spacing w:after="0" w:line="300" w:lineRule="exact"/>
        <w:jc w:val="both"/>
        <w:rPr>
          <w:rFonts w:asciiTheme="majorHAnsi" w:hAnsiTheme="majorHAnsi"/>
          <w:bCs/>
          <w:sz w:val="24"/>
          <w:szCs w:val="24"/>
        </w:rPr>
      </w:pPr>
      <w:r w:rsidRPr="00714557">
        <w:rPr>
          <w:rFonts w:asciiTheme="majorHAnsi" w:hAnsiTheme="majorHAnsi"/>
          <w:bCs/>
          <w:sz w:val="24"/>
          <w:szCs w:val="24"/>
        </w:rPr>
        <w:t>su cartelli e tabelle da affiggere al muro;</w:t>
      </w:r>
    </w:p>
    <w:p w:rsidR="00714557" w:rsidRPr="00714557" w:rsidRDefault="00714557" w:rsidP="00714557">
      <w:pPr>
        <w:pStyle w:val="Paragrafoelenco"/>
        <w:numPr>
          <w:ilvl w:val="0"/>
          <w:numId w:val="3"/>
        </w:numPr>
        <w:spacing w:after="0" w:line="300" w:lineRule="exact"/>
        <w:jc w:val="both"/>
        <w:rPr>
          <w:rFonts w:asciiTheme="majorHAnsi" w:hAnsiTheme="majorHAnsi"/>
          <w:bCs/>
          <w:sz w:val="24"/>
          <w:szCs w:val="24"/>
        </w:rPr>
      </w:pPr>
      <w:r w:rsidRPr="00714557">
        <w:rPr>
          <w:rFonts w:asciiTheme="majorHAnsi" w:hAnsiTheme="majorHAnsi"/>
          <w:bCs/>
          <w:sz w:val="24"/>
          <w:szCs w:val="24"/>
        </w:rPr>
        <w:t>sul menù o sui dépliant che presentano le pietanze servite;</w:t>
      </w:r>
    </w:p>
    <w:p w:rsidR="00714557" w:rsidRPr="009705D3" w:rsidRDefault="00714557" w:rsidP="00714557">
      <w:pPr>
        <w:pStyle w:val="Paragrafoelenco"/>
        <w:numPr>
          <w:ilvl w:val="0"/>
          <w:numId w:val="3"/>
        </w:numPr>
        <w:spacing w:after="0" w:line="300" w:lineRule="exact"/>
        <w:jc w:val="both"/>
        <w:rPr>
          <w:rFonts w:asciiTheme="majorHAnsi" w:hAnsiTheme="majorHAnsi"/>
          <w:b/>
          <w:bCs/>
          <w:sz w:val="24"/>
          <w:szCs w:val="24"/>
        </w:rPr>
      </w:pPr>
      <w:r w:rsidRPr="00714557">
        <w:rPr>
          <w:rFonts w:asciiTheme="majorHAnsi" w:hAnsiTheme="majorHAnsi"/>
          <w:bCs/>
          <w:sz w:val="24"/>
          <w:szCs w:val="24"/>
        </w:rPr>
        <w:t>su supporti elettronici e tecnologici che il cliente può consultare;</w:t>
      </w:r>
    </w:p>
    <w:p w:rsidR="00DA65B4" w:rsidRPr="009705D3" w:rsidRDefault="00DA65B4" w:rsidP="009705D3">
      <w:pPr>
        <w:spacing w:after="0" w:line="300" w:lineRule="exact"/>
        <w:jc w:val="both"/>
        <w:rPr>
          <w:rFonts w:asciiTheme="majorHAnsi" w:hAnsiTheme="majorHAnsi"/>
          <w:sz w:val="24"/>
          <w:szCs w:val="24"/>
        </w:rPr>
      </w:pPr>
    </w:p>
    <w:sectPr w:rsidR="00DA65B4" w:rsidRPr="00970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A3C"/>
    <w:multiLevelType w:val="multilevel"/>
    <w:tmpl w:val="3720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67A44"/>
    <w:multiLevelType w:val="hybridMultilevel"/>
    <w:tmpl w:val="86D880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C4C6D"/>
    <w:multiLevelType w:val="multilevel"/>
    <w:tmpl w:val="8CD6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C6EA8"/>
    <w:multiLevelType w:val="hybridMultilevel"/>
    <w:tmpl w:val="8E34E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11E"/>
    <w:multiLevelType w:val="hybridMultilevel"/>
    <w:tmpl w:val="ED16F89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B4"/>
    <w:rsid w:val="00024AEA"/>
    <w:rsid w:val="000823FC"/>
    <w:rsid w:val="000B3C3B"/>
    <w:rsid w:val="001A787F"/>
    <w:rsid w:val="001E6FB3"/>
    <w:rsid w:val="00262230"/>
    <w:rsid w:val="002A35DF"/>
    <w:rsid w:val="00312B3F"/>
    <w:rsid w:val="0031478B"/>
    <w:rsid w:val="003C223E"/>
    <w:rsid w:val="003E2447"/>
    <w:rsid w:val="004B15E1"/>
    <w:rsid w:val="004B5E06"/>
    <w:rsid w:val="005401C2"/>
    <w:rsid w:val="005A4383"/>
    <w:rsid w:val="00714557"/>
    <w:rsid w:val="007E14CA"/>
    <w:rsid w:val="009021B8"/>
    <w:rsid w:val="009705D3"/>
    <w:rsid w:val="009C0D62"/>
    <w:rsid w:val="00A55A61"/>
    <w:rsid w:val="00AF57B7"/>
    <w:rsid w:val="00B035BC"/>
    <w:rsid w:val="00C2007A"/>
    <w:rsid w:val="00C23B18"/>
    <w:rsid w:val="00C5665A"/>
    <w:rsid w:val="00CC6E15"/>
    <w:rsid w:val="00D00FCA"/>
    <w:rsid w:val="00DA65B4"/>
    <w:rsid w:val="00E352A5"/>
    <w:rsid w:val="00F2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7D846-1CC2-4F43-81EB-1A202275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65B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A61"/>
    <w:pPr>
      <w:ind w:left="720"/>
      <w:contextualSpacing/>
    </w:pPr>
  </w:style>
  <w:style w:type="paragraph" w:styleId="Revisione">
    <w:name w:val="Revision"/>
    <w:hidden/>
    <w:uiPriority w:val="99"/>
    <w:semiHidden/>
    <w:rsid w:val="003E244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9576-0DC3-411B-85E3-36F0A31A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Ramiri</dc:creator>
  <cp:keywords/>
  <dc:description/>
  <cp:lastModifiedBy>Marina</cp:lastModifiedBy>
  <cp:revision>3</cp:revision>
  <cp:lastPrinted>2020-03-13T14:21:00Z</cp:lastPrinted>
  <dcterms:created xsi:type="dcterms:W3CDTF">2020-03-14T14:36:00Z</dcterms:created>
  <dcterms:modified xsi:type="dcterms:W3CDTF">2020-03-14T14:36:00Z</dcterms:modified>
</cp:coreProperties>
</file>